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FB6AF" w14:textId="77777777" w:rsidR="00F11E5D" w:rsidRDefault="00F11E5D" w:rsidP="00F11E5D">
      <w:pPr>
        <w:ind w:left="720" w:hanging="360"/>
      </w:pPr>
    </w:p>
    <w:p w14:paraId="147C8C5F" w14:textId="6A6651D5" w:rsidR="00F11E5D" w:rsidRPr="00F11E5D" w:rsidRDefault="00F11E5D" w:rsidP="00F11E5D">
      <w:pPr>
        <w:pStyle w:val="Akapitzlist"/>
        <w:numPr>
          <w:ilvl w:val="0"/>
          <w:numId w:val="3"/>
        </w:numPr>
        <w:ind w:left="851" w:hanging="491"/>
        <w:rPr>
          <w:b/>
          <w:bCs w:val="0"/>
          <w:i/>
          <w:iCs/>
        </w:rPr>
      </w:pPr>
      <w:r w:rsidRPr="00F11E5D">
        <w:rPr>
          <w:b/>
          <w:bCs w:val="0"/>
          <w:i/>
          <w:iCs/>
        </w:rPr>
        <w:t>DOSTAWA 50 SZT. WODOMIERZY RADIOWYCH</w:t>
      </w:r>
    </w:p>
    <w:p w14:paraId="4BD49B8B" w14:textId="463ED22C" w:rsidR="00F11E5D" w:rsidRPr="00F11E5D" w:rsidRDefault="00F11E5D" w:rsidP="00F11E5D">
      <w:pPr>
        <w:numPr>
          <w:ilvl w:val="0"/>
          <w:numId w:val="1"/>
        </w:numPr>
        <w:ind w:left="1418" w:hanging="567"/>
      </w:pPr>
      <w:r>
        <w:t>Średnica f</w:t>
      </w:r>
      <w:r w:rsidRPr="00F11E5D">
        <w:t>i</w:t>
      </w:r>
      <w:r>
        <w:t xml:space="preserve"> </w:t>
      </w:r>
      <w:r w:rsidRPr="00F11E5D">
        <w:t>32 – ¾”</w:t>
      </w:r>
    </w:p>
    <w:p w14:paraId="365FF8EA" w14:textId="77777777" w:rsidR="00F11E5D" w:rsidRPr="00F11E5D" w:rsidRDefault="00F11E5D" w:rsidP="00F11E5D">
      <w:pPr>
        <w:numPr>
          <w:ilvl w:val="0"/>
          <w:numId w:val="1"/>
        </w:numPr>
        <w:ind w:left="851" w:firstLine="0"/>
      </w:pPr>
      <w:r w:rsidRPr="00F11E5D">
        <w:t>Długość całkowita 130mm</w:t>
      </w:r>
    </w:p>
    <w:p w14:paraId="1ADD058C" w14:textId="77777777" w:rsidR="00F11E5D" w:rsidRPr="00F11E5D" w:rsidRDefault="00F11E5D" w:rsidP="00F11E5D">
      <w:pPr>
        <w:numPr>
          <w:ilvl w:val="0"/>
          <w:numId w:val="1"/>
        </w:numPr>
        <w:ind w:left="851" w:firstLine="0"/>
      </w:pPr>
      <w:r w:rsidRPr="00F11E5D">
        <w:t>Natężenie przepływu – 2,5m3/h</w:t>
      </w:r>
    </w:p>
    <w:p w14:paraId="2C2A8BDA" w14:textId="77777777" w:rsidR="00F11E5D" w:rsidRPr="00F11E5D" w:rsidRDefault="00F11E5D" w:rsidP="00F11E5D">
      <w:pPr>
        <w:numPr>
          <w:ilvl w:val="0"/>
          <w:numId w:val="1"/>
        </w:numPr>
        <w:ind w:left="851" w:firstLine="0"/>
      </w:pPr>
      <w:r w:rsidRPr="00F11E5D">
        <w:t>Brak części ruchomych w urządzeniu.</w:t>
      </w:r>
    </w:p>
    <w:p w14:paraId="024E1924" w14:textId="77777777" w:rsidR="00F11E5D" w:rsidRPr="00F11E5D" w:rsidRDefault="00F11E5D" w:rsidP="00F11E5D">
      <w:pPr>
        <w:rPr>
          <w:b/>
          <w:bCs w:val="0"/>
          <w:i/>
          <w:iCs/>
        </w:rPr>
      </w:pPr>
      <w:r w:rsidRPr="00F11E5D">
        <w:rPr>
          <w:b/>
          <w:bCs w:val="0"/>
          <w:i/>
          <w:iCs/>
        </w:rPr>
        <w:t>Innowacyjne rozwiązania dotyczące gospodarki wodomierzowej:</w:t>
      </w:r>
    </w:p>
    <w:p w14:paraId="40EE5C89" w14:textId="77777777" w:rsidR="00F11E5D" w:rsidRPr="00F11E5D" w:rsidRDefault="00F11E5D" w:rsidP="00F11E5D">
      <w:pPr>
        <w:numPr>
          <w:ilvl w:val="0"/>
          <w:numId w:val="2"/>
        </w:numPr>
        <w:rPr>
          <w:u w:val="single"/>
        </w:rPr>
      </w:pPr>
      <w:r w:rsidRPr="00F11E5D">
        <w:rPr>
          <w:u w:val="single"/>
        </w:rPr>
        <w:t>Detekcja wycieków zintegrowana z urządzeniem wodomierzowym:</w:t>
      </w:r>
    </w:p>
    <w:p w14:paraId="1360BBFE" w14:textId="77777777" w:rsidR="00F11E5D" w:rsidRPr="00F11E5D" w:rsidRDefault="00F11E5D" w:rsidP="00F11E5D">
      <w:pPr>
        <w:ind w:left="709"/>
        <w:jc w:val="both"/>
      </w:pPr>
      <w:r w:rsidRPr="00F11E5D">
        <w:t xml:space="preserve">Zintegrowany system cyfrowego wodomierza z rejestratorem dźwięku pozwala nie tylko precyzyjnie rejestrować przepływ wody przez urządzenie, ale również rejestruje i pozwala zarejestrować ubytek wody z sieci jeszcze przed wystąpieniem awarii. Zintegrowany system rejestracji dźwięku wpływa szczególnie na ograniczenie strat wody na sieci wodociągowej oraz pozwala zapobiegać i sprawnie reagować na potencjalne zdarzenia awaryjne, jednocześnie minimalizuje czas przerwy w dostawie wody do odbiorcy. </w:t>
      </w:r>
    </w:p>
    <w:p w14:paraId="2F9912DE" w14:textId="77777777" w:rsidR="00F11E5D" w:rsidRPr="00F11E5D" w:rsidRDefault="00F11E5D" w:rsidP="00F11E5D">
      <w:pPr>
        <w:numPr>
          <w:ilvl w:val="0"/>
          <w:numId w:val="2"/>
        </w:numPr>
        <w:rPr>
          <w:u w:val="single"/>
        </w:rPr>
      </w:pPr>
      <w:r w:rsidRPr="00F11E5D">
        <w:rPr>
          <w:u w:val="single"/>
        </w:rPr>
        <w:t>Brak części ruchomych w urządzeniu wodomierzowym:</w:t>
      </w:r>
    </w:p>
    <w:p w14:paraId="1E758E44" w14:textId="77777777" w:rsidR="00F11E5D" w:rsidRPr="00F11E5D" w:rsidRDefault="00F11E5D" w:rsidP="00F11E5D">
      <w:pPr>
        <w:ind w:left="709"/>
        <w:jc w:val="both"/>
      </w:pPr>
      <w:r w:rsidRPr="00F11E5D">
        <w:t xml:space="preserve">Statyczne urządzenia wodomierzowe pozbawione w całości części ruchomych pozwalają precyzyjnie rejestrować minimalne zużycie wody, co szczególnie wpływa na precyzje pomiaru przepływu wody przez urządzenie. </w:t>
      </w:r>
    </w:p>
    <w:p w14:paraId="01519670" w14:textId="77777777" w:rsidR="00F11E5D" w:rsidRPr="00F11E5D" w:rsidRDefault="00F11E5D" w:rsidP="00F11E5D">
      <w:pPr>
        <w:numPr>
          <w:ilvl w:val="0"/>
          <w:numId w:val="2"/>
        </w:numPr>
        <w:rPr>
          <w:u w:val="single"/>
        </w:rPr>
      </w:pPr>
      <w:r w:rsidRPr="00F11E5D">
        <w:rPr>
          <w:u w:val="single"/>
        </w:rPr>
        <w:t>Zdalny i stały w czasie odczyt wodomierzy przy pomocy nadajników koncentrycznych:</w:t>
      </w:r>
    </w:p>
    <w:p w14:paraId="3205054B" w14:textId="77777777" w:rsidR="00F11E5D" w:rsidRPr="00F11E5D" w:rsidRDefault="00F11E5D" w:rsidP="00F11E5D">
      <w:pPr>
        <w:ind w:left="709"/>
        <w:jc w:val="both"/>
      </w:pPr>
      <w:r w:rsidRPr="00F11E5D">
        <w:t>Wodomierze wyposażone w zintegrowaną komunikację pozwalają na odczyt stanu urządzenia zdalnie przy pomocy nadajników koncentrycznych. Możliwość zdalnego odczytu wodomierzy ma szczególny wpływ na aspekty ekologiczne, ponieważ zostanie ograniczona konieczność poruszania się pojazdami spalinowymi w celu radiowego lub ręcznego odczytu stanu wodomierza.</w:t>
      </w:r>
    </w:p>
    <w:p w14:paraId="05A8CBBB" w14:textId="77777777" w:rsidR="00F11E5D" w:rsidRPr="00F11E5D" w:rsidRDefault="00F11E5D" w:rsidP="00F11E5D"/>
    <w:p w14:paraId="379C721E" w14:textId="77777777" w:rsidR="00F11E5D" w:rsidRPr="00F11E5D" w:rsidRDefault="00F11E5D" w:rsidP="00F11E5D">
      <w:pPr>
        <w:numPr>
          <w:ilvl w:val="0"/>
          <w:numId w:val="2"/>
        </w:numPr>
        <w:rPr>
          <w:u w:val="single"/>
        </w:rPr>
      </w:pPr>
      <w:r w:rsidRPr="00F11E5D">
        <w:rPr>
          <w:u w:val="single"/>
        </w:rPr>
        <w:t>Rozbudowany system informacyjny urządzenia wodomierzowego:</w:t>
      </w:r>
    </w:p>
    <w:p w14:paraId="07D2B0AF" w14:textId="77777777" w:rsidR="00F11E5D" w:rsidRPr="00F11E5D" w:rsidRDefault="00F11E5D" w:rsidP="00F11E5D">
      <w:pPr>
        <w:ind w:left="709"/>
        <w:jc w:val="both"/>
      </w:pPr>
      <w:r w:rsidRPr="00F11E5D">
        <w:t xml:space="preserve">Nowoczesne rozwiązania wodomierzowe gwarantują oprócz prawidłowego odczytu ilości przepływającej przez urządzenie wody również szereg istotnych kodów informacyjnych oraz alarmów, które powalają wykryć nieprawidłowości min. awarie urządzenia, wycieki, próby manipulacji, przepływy wsteczne. </w:t>
      </w:r>
    </w:p>
    <w:p w14:paraId="38D0DD80" w14:textId="77777777" w:rsidR="00F11E5D" w:rsidRPr="00F11E5D" w:rsidRDefault="00F11E5D" w:rsidP="00F11E5D"/>
    <w:p w14:paraId="3FCE4C9E" w14:textId="77777777" w:rsidR="00F11E5D" w:rsidRPr="00F11E5D" w:rsidRDefault="00F11E5D" w:rsidP="00F11E5D">
      <w:pPr>
        <w:numPr>
          <w:ilvl w:val="0"/>
          <w:numId w:val="2"/>
        </w:numPr>
        <w:rPr>
          <w:u w:val="single"/>
        </w:rPr>
      </w:pPr>
      <w:r w:rsidRPr="00F11E5D">
        <w:rPr>
          <w:u w:val="single"/>
        </w:rPr>
        <w:t>Wydłużony okres legalizacji wodomierzy:</w:t>
      </w:r>
    </w:p>
    <w:p w14:paraId="685E306C" w14:textId="77777777" w:rsidR="00F11E5D" w:rsidRPr="00F11E5D" w:rsidRDefault="00F11E5D" w:rsidP="00F11E5D">
      <w:pPr>
        <w:ind w:left="709"/>
        <w:jc w:val="both"/>
      </w:pPr>
      <w:r w:rsidRPr="00F11E5D">
        <w:t>Ponadto nowoczesne rozwiązania wodomierzowe gwarantują wydłużony okres legalizacji urządzenia.</w:t>
      </w:r>
    </w:p>
    <w:p w14:paraId="00749613" w14:textId="77777777" w:rsidR="00F11E5D" w:rsidRPr="00F11E5D" w:rsidRDefault="00F11E5D" w:rsidP="00F11E5D"/>
    <w:p w14:paraId="28CB7B8B" w14:textId="6B03345D" w:rsidR="00DF0AB8" w:rsidRDefault="00FF7991" w:rsidP="00FF7991">
      <w:pPr>
        <w:pStyle w:val="Akapitzlist"/>
        <w:numPr>
          <w:ilvl w:val="0"/>
          <w:numId w:val="3"/>
        </w:numPr>
        <w:jc w:val="both"/>
        <w:rPr>
          <w:b/>
          <w:bCs w:val="0"/>
          <w:i/>
          <w:iCs/>
        </w:rPr>
      </w:pPr>
      <w:r w:rsidRPr="00FF7991">
        <w:rPr>
          <w:b/>
          <w:bCs w:val="0"/>
          <w:i/>
          <w:iCs/>
        </w:rPr>
        <w:lastRenderedPageBreak/>
        <w:t>INSTALACJA DWÓCH PUNKTÓW POMIAROWYCH NA SIECI WODOCIĄGOWEJ</w:t>
      </w:r>
    </w:p>
    <w:p w14:paraId="2B9E221C" w14:textId="767CB3F3" w:rsidR="00FF7991" w:rsidRPr="00FF7991" w:rsidRDefault="00FF7991" w:rsidP="00FF7991">
      <w:pPr>
        <w:spacing w:after="120" w:line="240" w:lineRule="auto"/>
        <w:ind w:left="360"/>
        <w:jc w:val="both"/>
        <w:rPr>
          <w:bCs w:val="0"/>
        </w:rPr>
      </w:pPr>
      <w:r w:rsidRPr="00FF7991">
        <w:rPr>
          <w:bCs w:val="0"/>
        </w:rPr>
        <w:t>zabudowa</w:t>
      </w:r>
      <w:r w:rsidRPr="00FF7991">
        <w:rPr>
          <w:bCs w:val="0"/>
        </w:rPr>
        <w:t xml:space="preserve"> dw</w:t>
      </w:r>
      <w:r w:rsidRPr="00FF7991">
        <w:rPr>
          <w:bCs w:val="0"/>
        </w:rPr>
        <w:t>óch</w:t>
      </w:r>
      <w:r w:rsidRPr="00FF7991">
        <w:rPr>
          <w:bCs w:val="0"/>
        </w:rPr>
        <w:t xml:space="preserve"> punkt</w:t>
      </w:r>
      <w:r w:rsidRPr="00FF7991">
        <w:rPr>
          <w:bCs w:val="0"/>
        </w:rPr>
        <w:t>ów</w:t>
      </w:r>
      <w:r w:rsidRPr="00FF7991">
        <w:rPr>
          <w:bCs w:val="0"/>
        </w:rPr>
        <w:t xml:space="preserve"> pomiarow</w:t>
      </w:r>
      <w:r w:rsidRPr="00FF7991">
        <w:rPr>
          <w:bCs w:val="0"/>
        </w:rPr>
        <w:t>ych</w:t>
      </w:r>
      <w:r w:rsidRPr="00FF7991">
        <w:rPr>
          <w:bCs w:val="0"/>
        </w:rPr>
        <w:t xml:space="preserve"> na sieci wodociągowej - instalacja punktu pomiarowego na sieci wodociągowej w rejonie m. Schodnia ul. Rzeczna, obręb Schodnia (nr obrębu 0126 Schodnia, nr. jednostki 160908_5),</w:t>
      </w:r>
      <w:r w:rsidR="003D6CC8">
        <w:rPr>
          <w:bCs w:val="0"/>
        </w:rPr>
        <w:t xml:space="preserve"> oraz w </w:t>
      </w:r>
      <w:r w:rsidRPr="00FF7991">
        <w:rPr>
          <w:bCs w:val="0"/>
        </w:rPr>
        <w:t xml:space="preserve"> Antoniowie ul. Rzeczna, obręb Antoniów, miejsce planowanego połączenia Suw Szczedrzyk z Antoniowem, połączenie w drugą stronę, (dz. ew. nr 367/131, AR 3, obręb Antoniów) - nr. obrębu 0001 Antoniów, nr. jednostki 160908_5</w:t>
      </w:r>
    </w:p>
    <w:p w14:paraId="2FDC25AD" w14:textId="77777777" w:rsidR="00FF7991" w:rsidRPr="00FF7991" w:rsidRDefault="00FF7991" w:rsidP="00FF7991">
      <w:pPr>
        <w:pStyle w:val="Akapitzlist"/>
        <w:ind w:left="1080"/>
        <w:jc w:val="both"/>
        <w:rPr>
          <w:bCs w:val="0"/>
        </w:rPr>
      </w:pPr>
    </w:p>
    <w:sectPr w:rsidR="00FF7991" w:rsidRPr="00FF7991" w:rsidSect="002C4210">
      <w:type w:val="continuous"/>
      <w:pgSz w:w="11910" w:h="16840"/>
      <w:pgMar w:top="1400" w:right="1298" w:bottom="1077" w:left="1298" w:header="397" w:footer="896"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245F46"/>
    <w:multiLevelType w:val="hybridMultilevel"/>
    <w:tmpl w:val="446A1376"/>
    <w:lvl w:ilvl="0" w:tplc="25161BC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7D26F4F"/>
    <w:multiLevelType w:val="hybridMultilevel"/>
    <w:tmpl w:val="59A6B4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72C531D"/>
    <w:multiLevelType w:val="hybridMultilevel"/>
    <w:tmpl w:val="64D842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81D3DB4"/>
    <w:multiLevelType w:val="hybridMultilevel"/>
    <w:tmpl w:val="6E4A99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639583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57028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7942059">
    <w:abstractNumId w:val="0"/>
  </w:num>
  <w:num w:numId="4" w16cid:durableId="4994709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8E1"/>
    <w:rsid w:val="00035360"/>
    <w:rsid w:val="001D18A5"/>
    <w:rsid w:val="002C4210"/>
    <w:rsid w:val="003D6CC8"/>
    <w:rsid w:val="004F78E1"/>
    <w:rsid w:val="007A3FC0"/>
    <w:rsid w:val="007E21F8"/>
    <w:rsid w:val="00DF0AB8"/>
    <w:rsid w:val="00F11E5D"/>
    <w:rsid w:val="00FF79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1E1CA"/>
  <w15:chartTrackingRefBased/>
  <w15:docId w15:val="{5F23E45B-9EF1-4210-B29C-F9EEE6CB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bCs/>
        <w:kern w:val="2"/>
        <w:sz w:val="24"/>
        <w:szCs w:val="24"/>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F78E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4F78E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4F78E1"/>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4F78E1"/>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4F78E1"/>
    <w:pPr>
      <w:keepNext/>
      <w:keepLines/>
      <w:spacing w:before="80" w:after="40"/>
      <w:outlineLvl w:val="4"/>
    </w:pPr>
    <w:rPr>
      <w:rFonts w:asciiTheme="minorHAnsi" w:eastAsiaTheme="majorEastAsia" w:hAnsiTheme="minorHAnsi" w:cstheme="majorBidi"/>
      <w:color w:val="2F5496" w:themeColor="accent1" w:themeShade="BF"/>
    </w:rPr>
  </w:style>
  <w:style w:type="paragraph" w:styleId="Nagwek6">
    <w:name w:val="heading 6"/>
    <w:basedOn w:val="Normalny"/>
    <w:next w:val="Normalny"/>
    <w:link w:val="Nagwek6Znak"/>
    <w:uiPriority w:val="9"/>
    <w:semiHidden/>
    <w:unhideWhenUsed/>
    <w:qFormat/>
    <w:rsid w:val="004F78E1"/>
    <w:pPr>
      <w:keepNext/>
      <w:keepLines/>
      <w:spacing w:before="40" w:after="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iPriority w:val="9"/>
    <w:semiHidden/>
    <w:unhideWhenUsed/>
    <w:qFormat/>
    <w:rsid w:val="004F78E1"/>
    <w:pPr>
      <w:keepNext/>
      <w:keepLines/>
      <w:spacing w:before="40" w:after="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4F78E1"/>
    <w:pPr>
      <w:keepNext/>
      <w:keepLines/>
      <w:spacing w:after="0"/>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4F78E1"/>
    <w:pPr>
      <w:keepNext/>
      <w:keepLines/>
      <w:spacing w:after="0"/>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F78E1"/>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4F78E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4F78E1"/>
    <w:rPr>
      <w:rFonts w:asciiTheme="minorHAnsi" w:eastAsiaTheme="majorEastAsia" w:hAnsiTheme="minorHAnsi"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F78E1"/>
    <w:rPr>
      <w:rFonts w:asciiTheme="minorHAnsi" w:eastAsiaTheme="majorEastAsia" w:hAnsiTheme="minorHAnsi" w:cstheme="majorBidi"/>
      <w:i/>
      <w:iCs/>
      <w:color w:val="2F5496" w:themeColor="accent1" w:themeShade="BF"/>
    </w:rPr>
  </w:style>
  <w:style w:type="character" w:customStyle="1" w:styleId="Nagwek5Znak">
    <w:name w:val="Nagłówek 5 Znak"/>
    <w:basedOn w:val="Domylnaczcionkaakapitu"/>
    <w:link w:val="Nagwek5"/>
    <w:uiPriority w:val="9"/>
    <w:semiHidden/>
    <w:rsid w:val="004F78E1"/>
    <w:rPr>
      <w:rFonts w:asciiTheme="minorHAnsi" w:eastAsiaTheme="majorEastAsia" w:hAnsiTheme="minorHAnsi" w:cstheme="majorBidi"/>
      <w:color w:val="2F5496" w:themeColor="accent1" w:themeShade="BF"/>
    </w:rPr>
  </w:style>
  <w:style w:type="character" w:customStyle="1" w:styleId="Nagwek6Znak">
    <w:name w:val="Nagłówek 6 Znak"/>
    <w:basedOn w:val="Domylnaczcionkaakapitu"/>
    <w:link w:val="Nagwek6"/>
    <w:uiPriority w:val="9"/>
    <w:semiHidden/>
    <w:rsid w:val="004F78E1"/>
    <w:rPr>
      <w:rFonts w:asciiTheme="minorHAnsi" w:eastAsiaTheme="majorEastAsia" w:hAnsiTheme="minorHAnsi" w:cstheme="majorBidi"/>
      <w:i/>
      <w:iCs/>
      <w:color w:val="595959" w:themeColor="text1" w:themeTint="A6"/>
    </w:rPr>
  </w:style>
  <w:style w:type="character" w:customStyle="1" w:styleId="Nagwek7Znak">
    <w:name w:val="Nagłówek 7 Znak"/>
    <w:basedOn w:val="Domylnaczcionkaakapitu"/>
    <w:link w:val="Nagwek7"/>
    <w:uiPriority w:val="9"/>
    <w:semiHidden/>
    <w:rsid w:val="004F78E1"/>
    <w:rPr>
      <w:rFonts w:asciiTheme="minorHAnsi" w:eastAsiaTheme="majorEastAsia" w:hAnsiTheme="minorHAnsi" w:cstheme="majorBidi"/>
      <w:color w:val="595959" w:themeColor="text1" w:themeTint="A6"/>
    </w:rPr>
  </w:style>
  <w:style w:type="character" w:customStyle="1" w:styleId="Nagwek8Znak">
    <w:name w:val="Nagłówek 8 Znak"/>
    <w:basedOn w:val="Domylnaczcionkaakapitu"/>
    <w:link w:val="Nagwek8"/>
    <w:uiPriority w:val="9"/>
    <w:semiHidden/>
    <w:rsid w:val="004F78E1"/>
    <w:rPr>
      <w:rFonts w:asciiTheme="minorHAnsi" w:eastAsiaTheme="majorEastAsia" w:hAnsiTheme="minorHAnsi" w:cstheme="majorBidi"/>
      <w:i/>
      <w:iCs/>
      <w:color w:val="272727" w:themeColor="text1" w:themeTint="D8"/>
    </w:rPr>
  </w:style>
  <w:style w:type="character" w:customStyle="1" w:styleId="Nagwek9Znak">
    <w:name w:val="Nagłówek 9 Znak"/>
    <w:basedOn w:val="Domylnaczcionkaakapitu"/>
    <w:link w:val="Nagwek9"/>
    <w:uiPriority w:val="9"/>
    <w:semiHidden/>
    <w:rsid w:val="004F78E1"/>
    <w:rPr>
      <w:rFonts w:asciiTheme="minorHAnsi" w:eastAsiaTheme="majorEastAsia" w:hAnsiTheme="minorHAnsi" w:cstheme="majorBidi"/>
      <w:color w:val="272727" w:themeColor="text1" w:themeTint="D8"/>
    </w:rPr>
  </w:style>
  <w:style w:type="paragraph" w:styleId="Tytu">
    <w:name w:val="Title"/>
    <w:basedOn w:val="Normalny"/>
    <w:next w:val="Normalny"/>
    <w:link w:val="TytuZnak"/>
    <w:uiPriority w:val="10"/>
    <w:qFormat/>
    <w:rsid w:val="004F78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F78E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F78E1"/>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F78E1"/>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4F78E1"/>
    <w:pPr>
      <w:spacing w:before="160"/>
      <w:jc w:val="center"/>
    </w:pPr>
    <w:rPr>
      <w:i/>
      <w:iCs/>
      <w:color w:val="404040" w:themeColor="text1" w:themeTint="BF"/>
    </w:rPr>
  </w:style>
  <w:style w:type="character" w:customStyle="1" w:styleId="CytatZnak">
    <w:name w:val="Cytat Znak"/>
    <w:basedOn w:val="Domylnaczcionkaakapitu"/>
    <w:link w:val="Cytat"/>
    <w:uiPriority w:val="29"/>
    <w:rsid w:val="004F78E1"/>
    <w:rPr>
      <w:i/>
      <w:iCs/>
      <w:color w:val="404040" w:themeColor="text1" w:themeTint="BF"/>
    </w:rPr>
  </w:style>
  <w:style w:type="paragraph" w:styleId="Akapitzlist">
    <w:name w:val="List Paragraph"/>
    <w:aliases w:val="Numerowanie,Akapit z listą BS,Kolorowa lista — akcent 11,CW_Lista,L1,Akapit z listą5,maz_wyliczenie,opis dzialania,K-P_odwolanie,A_wyliczenie,sw tekst,normalny tekst,Odstavec,Akapit z listą numerowaną,Podsis rysunku,lp1,Bullet List"/>
    <w:basedOn w:val="Normalny"/>
    <w:link w:val="AkapitzlistZnak"/>
    <w:uiPriority w:val="34"/>
    <w:qFormat/>
    <w:rsid w:val="004F78E1"/>
    <w:pPr>
      <w:ind w:left="720"/>
      <w:contextualSpacing/>
    </w:pPr>
  </w:style>
  <w:style w:type="character" w:styleId="Wyrnienieintensywne">
    <w:name w:val="Intense Emphasis"/>
    <w:basedOn w:val="Domylnaczcionkaakapitu"/>
    <w:uiPriority w:val="21"/>
    <w:qFormat/>
    <w:rsid w:val="004F78E1"/>
    <w:rPr>
      <w:i/>
      <w:iCs/>
      <w:color w:val="2F5496" w:themeColor="accent1" w:themeShade="BF"/>
    </w:rPr>
  </w:style>
  <w:style w:type="paragraph" w:styleId="Cytatintensywny">
    <w:name w:val="Intense Quote"/>
    <w:basedOn w:val="Normalny"/>
    <w:next w:val="Normalny"/>
    <w:link w:val="CytatintensywnyZnak"/>
    <w:uiPriority w:val="30"/>
    <w:qFormat/>
    <w:rsid w:val="004F78E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4F78E1"/>
    <w:rPr>
      <w:i/>
      <w:iCs/>
      <w:color w:val="2F5496" w:themeColor="accent1" w:themeShade="BF"/>
    </w:rPr>
  </w:style>
  <w:style w:type="character" w:styleId="Odwoanieintensywne">
    <w:name w:val="Intense Reference"/>
    <w:basedOn w:val="Domylnaczcionkaakapitu"/>
    <w:uiPriority w:val="32"/>
    <w:qFormat/>
    <w:rsid w:val="004F78E1"/>
    <w:rPr>
      <w:b/>
      <w:bCs w:val="0"/>
      <w:smallCaps/>
      <w:color w:val="2F5496" w:themeColor="accent1" w:themeShade="BF"/>
      <w:spacing w:val="5"/>
    </w:rPr>
  </w:style>
  <w:style w:type="character" w:customStyle="1" w:styleId="AkapitzlistZnak">
    <w:name w:val="Akapit z listą Znak"/>
    <w:aliases w:val="Numerowanie Znak,Akapit z listą BS Znak,Kolorowa lista — akcent 11 Znak,CW_Lista Znak,L1 Znak,Akapit z listą5 Znak,maz_wyliczenie Znak,opis dzialania Znak,K-P_odwolanie Znak,A_wyliczenie Znak,sw tekst Znak,normalny tekst Znak"/>
    <w:link w:val="Akapitzlist"/>
    <w:uiPriority w:val="34"/>
    <w:qFormat/>
    <w:rsid w:val="00FF79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1973198">
      <w:bodyDiv w:val="1"/>
      <w:marLeft w:val="0"/>
      <w:marRight w:val="0"/>
      <w:marTop w:val="0"/>
      <w:marBottom w:val="0"/>
      <w:divBdr>
        <w:top w:val="none" w:sz="0" w:space="0" w:color="auto"/>
        <w:left w:val="none" w:sz="0" w:space="0" w:color="auto"/>
        <w:bottom w:val="none" w:sz="0" w:space="0" w:color="auto"/>
        <w:right w:val="none" w:sz="0" w:space="0" w:color="auto"/>
      </w:divBdr>
    </w:div>
    <w:div w:id="165742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349</Words>
  <Characters>2094</Characters>
  <Application>Microsoft Office Word</Application>
  <DocSecurity>0</DocSecurity>
  <Lines>17</Lines>
  <Paragraphs>4</Paragraphs>
  <ScaleCrop>false</ScaleCrop>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Spławińska</dc:creator>
  <cp:keywords/>
  <dc:description/>
  <cp:lastModifiedBy>Dorota Spławińska</cp:lastModifiedBy>
  <cp:revision>8</cp:revision>
  <dcterms:created xsi:type="dcterms:W3CDTF">2025-03-05T08:06:00Z</dcterms:created>
  <dcterms:modified xsi:type="dcterms:W3CDTF">2025-03-05T08:14:00Z</dcterms:modified>
</cp:coreProperties>
</file>